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3286" w:rsidRDefault="0056729D">
      <w:pPr>
        <w:shd w:val="clear" w:color="auto" w:fill="FFFFFF"/>
        <w:spacing w:after="0" w:line="240" w:lineRule="auto"/>
        <w:jc w:val="center"/>
        <w:rPr>
          <w:rFonts w:ascii="Times New Roman" w:eastAsia="Times New Roman" w:hAnsi="Times New Roman" w:cs="Times New Roman"/>
          <w:color w:val="000000"/>
          <w:sz w:val="26"/>
          <w:szCs w:val="26"/>
          <w:lang w:eastAsia="ru-RU"/>
        </w:rPr>
      </w:pPr>
      <w:r>
        <w:rPr>
          <w:rFonts w:ascii="Times New Roman" w:eastAsia="Times New Roman" w:hAnsi="Times New Roman" w:cs="Times New Roman"/>
          <w:color w:val="000000"/>
          <w:sz w:val="26"/>
          <w:szCs w:val="26"/>
          <w:lang w:eastAsia="ru-RU"/>
        </w:rPr>
        <w:t> </w:t>
      </w:r>
      <w:r>
        <w:rPr>
          <w:rFonts w:ascii="Times New Roman" w:eastAsia="Times New Roman" w:hAnsi="Times New Roman" w:cs="Times New Roman"/>
          <w:b/>
          <w:bCs/>
          <w:color w:val="000000"/>
          <w:sz w:val="26"/>
          <w:szCs w:val="26"/>
          <w:lang w:eastAsia="ru-RU"/>
        </w:rPr>
        <w:t>Уведомление</w:t>
      </w:r>
      <w:r>
        <w:rPr>
          <w:rFonts w:ascii="Times New Roman" w:eastAsia="Times New Roman" w:hAnsi="Times New Roman" w:cs="Times New Roman"/>
          <w:color w:val="000000"/>
          <w:sz w:val="26"/>
          <w:szCs w:val="26"/>
          <w:lang w:eastAsia="ru-RU"/>
        </w:rPr>
        <w:br/>
      </w:r>
      <w:r>
        <w:rPr>
          <w:rFonts w:ascii="Times New Roman" w:eastAsia="Times New Roman" w:hAnsi="Times New Roman" w:cs="Times New Roman"/>
          <w:b/>
          <w:bCs/>
          <w:color w:val="000000"/>
          <w:sz w:val="26"/>
          <w:szCs w:val="26"/>
          <w:lang w:eastAsia="ru-RU"/>
        </w:rPr>
        <w:t>о проведении публичных консультаций посредством сбора замечаний </w:t>
      </w:r>
      <w:r>
        <w:rPr>
          <w:rFonts w:ascii="Times New Roman" w:eastAsia="Times New Roman" w:hAnsi="Times New Roman" w:cs="Times New Roman"/>
          <w:color w:val="000000"/>
          <w:sz w:val="26"/>
          <w:szCs w:val="26"/>
          <w:lang w:eastAsia="ru-RU"/>
        </w:rPr>
        <w:br/>
      </w:r>
      <w:r>
        <w:rPr>
          <w:rFonts w:ascii="Times New Roman" w:eastAsia="Times New Roman" w:hAnsi="Times New Roman" w:cs="Times New Roman"/>
          <w:b/>
          <w:bCs/>
          <w:color w:val="000000"/>
          <w:sz w:val="26"/>
          <w:szCs w:val="26"/>
          <w:lang w:eastAsia="ru-RU"/>
        </w:rPr>
        <w:t>и предложений организаций и граждан в рамках анализа</w:t>
      </w:r>
      <w:r>
        <w:rPr>
          <w:rFonts w:ascii="Times New Roman" w:eastAsia="Times New Roman" w:hAnsi="Times New Roman" w:cs="Times New Roman"/>
          <w:color w:val="000000"/>
          <w:sz w:val="26"/>
          <w:szCs w:val="26"/>
          <w:lang w:eastAsia="ru-RU"/>
        </w:rPr>
        <w:br/>
      </w:r>
      <w:r>
        <w:rPr>
          <w:rFonts w:ascii="Times New Roman" w:eastAsia="Times New Roman" w:hAnsi="Times New Roman" w:cs="Times New Roman"/>
          <w:b/>
          <w:bCs/>
          <w:color w:val="000000"/>
          <w:sz w:val="26"/>
          <w:szCs w:val="26"/>
          <w:lang w:eastAsia="ru-RU"/>
        </w:rPr>
        <w:t> проекта муниципального нормативного правового акта </w:t>
      </w:r>
      <w:r>
        <w:rPr>
          <w:rFonts w:ascii="Times New Roman" w:eastAsia="Times New Roman" w:hAnsi="Times New Roman" w:cs="Times New Roman"/>
          <w:color w:val="000000"/>
          <w:sz w:val="26"/>
          <w:szCs w:val="26"/>
          <w:lang w:eastAsia="ru-RU"/>
        </w:rPr>
        <w:br/>
      </w:r>
      <w:r>
        <w:rPr>
          <w:rFonts w:ascii="Times New Roman" w:eastAsia="Times New Roman" w:hAnsi="Times New Roman" w:cs="Times New Roman"/>
          <w:b/>
          <w:bCs/>
          <w:color w:val="000000"/>
          <w:sz w:val="26"/>
          <w:szCs w:val="26"/>
          <w:lang w:eastAsia="ru-RU"/>
        </w:rPr>
        <w:t>на предмет его влияния на конкуренцию</w:t>
      </w:r>
    </w:p>
    <w:tbl>
      <w:tblPr>
        <w:tblW w:w="10261" w:type="dxa"/>
        <w:jc w:val="center"/>
        <w:tblCellMar>
          <w:left w:w="0" w:type="dxa"/>
          <w:right w:w="0" w:type="dxa"/>
        </w:tblCellMar>
        <w:tblLook w:val="04A0" w:firstRow="1" w:lastRow="0" w:firstColumn="1" w:lastColumn="0" w:noHBand="0" w:noVBand="1"/>
      </w:tblPr>
      <w:tblGrid>
        <w:gridCol w:w="10261"/>
      </w:tblGrid>
      <w:tr w:rsidR="00DB3286">
        <w:trPr>
          <w:jc w:val="center"/>
        </w:trPr>
        <w:tc>
          <w:tcPr>
            <w:tcW w:w="10261" w:type="dxa"/>
            <w:tcBorders>
              <w:top w:val="single" w:sz="12" w:space="0" w:color="777777"/>
              <w:left w:val="single" w:sz="12" w:space="0" w:color="777777"/>
              <w:bottom w:val="single" w:sz="12" w:space="0" w:color="777777"/>
              <w:right w:val="single" w:sz="12" w:space="0" w:color="777777"/>
            </w:tcBorders>
            <w:shd w:val="clear" w:color="auto" w:fill="auto"/>
            <w:tcMar>
              <w:top w:w="84" w:type="dxa"/>
              <w:left w:w="167" w:type="dxa"/>
              <w:bottom w:w="84" w:type="dxa"/>
              <w:right w:w="167" w:type="dxa"/>
            </w:tcMar>
            <w:vAlign w:val="center"/>
          </w:tcPr>
          <w:p w:rsidR="00DB3286" w:rsidRDefault="0056729D" w:rsidP="007F0668">
            <w:pPr>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
                <w:bCs/>
                <w:sz w:val="26"/>
                <w:szCs w:val="26"/>
                <w:lang w:eastAsia="ru-RU"/>
              </w:rPr>
              <w:t xml:space="preserve">Управление </w:t>
            </w:r>
            <w:r w:rsidR="007F0668">
              <w:rPr>
                <w:rFonts w:ascii="Times New Roman" w:eastAsia="Times New Roman" w:hAnsi="Times New Roman" w:cs="Times New Roman"/>
                <w:b/>
                <w:bCs/>
                <w:sz w:val="26"/>
                <w:szCs w:val="26"/>
                <w:lang w:eastAsia="ru-RU"/>
              </w:rPr>
              <w:t>массовых коммуникаций и информационных технологий</w:t>
            </w:r>
            <w:r>
              <w:rPr>
                <w:rFonts w:ascii="Times New Roman" w:eastAsia="Times New Roman" w:hAnsi="Times New Roman" w:cs="Times New Roman"/>
                <w:sz w:val="26"/>
                <w:szCs w:val="26"/>
                <w:lang w:eastAsia="ru-RU"/>
              </w:rPr>
              <w:br/>
              <w:t>уведомляет о проведении публичных консультаций посредством сбора замечаний</w:t>
            </w:r>
            <w:r>
              <w:rPr>
                <w:rFonts w:ascii="Times New Roman" w:eastAsia="Times New Roman" w:hAnsi="Times New Roman" w:cs="Times New Roman"/>
                <w:sz w:val="26"/>
                <w:szCs w:val="26"/>
                <w:lang w:eastAsia="ru-RU"/>
              </w:rPr>
              <w:br/>
              <w:t xml:space="preserve">и предложений организаций и граждан </w:t>
            </w:r>
            <w:r>
              <w:rPr>
                <w:rFonts w:ascii="Times New Roman" w:eastAsia="Times New Roman" w:hAnsi="Times New Roman" w:cs="Times New Roman"/>
                <w:b/>
                <w:sz w:val="26"/>
                <w:szCs w:val="26"/>
                <w:lang w:eastAsia="ru-RU"/>
              </w:rPr>
              <w:t>по </w:t>
            </w:r>
            <w:r>
              <w:rPr>
                <w:rFonts w:ascii="Times New Roman" w:eastAsia="Times New Roman" w:hAnsi="Times New Roman" w:cs="Times New Roman"/>
                <w:b/>
                <w:bCs/>
                <w:sz w:val="26"/>
                <w:szCs w:val="26"/>
                <w:lang w:eastAsia="ru-RU"/>
              </w:rPr>
              <w:t xml:space="preserve">проекту </w:t>
            </w:r>
            <w:r>
              <w:rPr>
                <w:rFonts w:ascii="Times New Roman" w:eastAsia="Times New Roman" w:hAnsi="Times New Roman" w:cs="Times New Roman"/>
                <w:b/>
                <w:sz w:val="26"/>
                <w:szCs w:val="26"/>
                <w:lang w:eastAsia="ru-RU"/>
              </w:rPr>
              <w:t>постановления администрации Губкинского городского округа  «</w:t>
            </w:r>
            <w:r>
              <w:rPr>
                <w:rFonts w:ascii="Times New Roman" w:hAnsi="Times New Roman" w:cs="Times New Roman"/>
                <w:b/>
                <w:sz w:val="26"/>
                <w:szCs w:val="26"/>
              </w:rPr>
              <w:t>О</w:t>
            </w:r>
            <w:r w:rsidR="007F0668">
              <w:rPr>
                <w:rFonts w:ascii="Times New Roman" w:hAnsi="Times New Roman" w:cs="Times New Roman"/>
                <w:b/>
                <w:sz w:val="26"/>
                <w:szCs w:val="26"/>
              </w:rPr>
              <w:t>б</w:t>
            </w:r>
            <w:r>
              <w:rPr>
                <w:rFonts w:ascii="Times New Roman" w:hAnsi="Times New Roman" w:cs="Times New Roman"/>
                <w:b/>
                <w:sz w:val="26"/>
                <w:szCs w:val="26"/>
              </w:rPr>
              <w:t xml:space="preserve"> </w:t>
            </w:r>
            <w:r w:rsidR="007F0668">
              <w:rPr>
                <w:rFonts w:ascii="Times New Roman" w:hAnsi="Times New Roman" w:cs="Times New Roman"/>
                <w:b/>
                <w:sz w:val="26"/>
                <w:szCs w:val="26"/>
              </w:rPr>
              <w:t>утверждении Порядка определения объема и условия предоставления из бюджета</w:t>
            </w:r>
            <w:r>
              <w:rPr>
                <w:rFonts w:ascii="Times New Roman" w:hAnsi="Times New Roman" w:cs="Times New Roman"/>
                <w:b/>
                <w:sz w:val="26"/>
                <w:szCs w:val="26"/>
              </w:rPr>
              <w:t xml:space="preserve"> Губкинского городского округа</w:t>
            </w:r>
            <w:r w:rsidR="007F0668">
              <w:rPr>
                <w:rFonts w:ascii="Times New Roman" w:hAnsi="Times New Roman" w:cs="Times New Roman"/>
                <w:b/>
                <w:sz w:val="26"/>
                <w:szCs w:val="26"/>
              </w:rPr>
              <w:t xml:space="preserve"> Белгородской области субсуидий редакциям газет – автономным некоммерческим организациям, соучредителем которых является администрация Губкинского городского округа</w:t>
            </w:r>
            <w:r>
              <w:rPr>
                <w:rFonts w:ascii="Times New Roman" w:hAnsi="Times New Roman" w:cs="Times New Roman"/>
                <w:b/>
                <w:sz w:val="26"/>
                <w:szCs w:val="26"/>
              </w:rPr>
              <w:t xml:space="preserve">» </w:t>
            </w:r>
            <w:r>
              <w:rPr>
                <w:rFonts w:ascii="Times New Roman" w:eastAsia="Times New Roman" w:hAnsi="Times New Roman" w:cs="Times New Roman"/>
                <w:b/>
                <w:bCs/>
                <w:sz w:val="26"/>
                <w:szCs w:val="26"/>
                <w:lang w:eastAsia="ru-RU"/>
              </w:rPr>
              <w:t>на предмет его влияния на конкуренцию</w:t>
            </w:r>
          </w:p>
        </w:tc>
      </w:tr>
      <w:tr w:rsidR="00DB3286">
        <w:trPr>
          <w:jc w:val="center"/>
        </w:trPr>
        <w:tc>
          <w:tcPr>
            <w:tcW w:w="10261" w:type="dxa"/>
            <w:tcBorders>
              <w:top w:val="single" w:sz="12" w:space="0" w:color="777777"/>
              <w:left w:val="single" w:sz="12" w:space="0" w:color="777777"/>
              <w:bottom w:val="single" w:sz="12" w:space="0" w:color="777777"/>
              <w:right w:val="single" w:sz="12" w:space="0" w:color="777777"/>
            </w:tcBorders>
            <w:shd w:val="clear" w:color="auto" w:fill="auto"/>
            <w:tcMar>
              <w:top w:w="84" w:type="dxa"/>
              <w:left w:w="167" w:type="dxa"/>
              <w:bottom w:w="84" w:type="dxa"/>
              <w:right w:w="167" w:type="dxa"/>
            </w:tcMar>
          </w:tcPr>
          <w:p w:rsidR="00DB3286" w:rsidRDefault="0056729D">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Замечания и предложения принимаются по адресу: 309189, Белгородская область, г. Губкин, ул. Мира, д. 16, а также по адресу электронной почты: </w:t>
            </w:r>
            <w:r>
              <w:rPr>
                <w:rFonts w:ascii="Times New Roman" w:hAnsi="Times New Roman" w:cs="Times New Roman"/>
                <w:sz w:val="26"/>
                <w:szCs w:val="26"/>
                <w:lang w:val="de-DE"/>
              </w:rPr>
              <w:t>gubpressa@</w:t>
            </w:r>
            <w:r>
              <w:rPr>
                <w:rFonts w:ascii="Times New Roman" w:hAnsi="Times New Roman" w:cs="Times New Roman"/>
                <w:sz w:val="26"/>
                <w:szCs w:val="26"/>
                <w:lang w:val="en-US"/>
              </w:rPr>
              <w:t>gu</w:t>
            </w:r>
            <w:r>
              <w:rPr>
                <w:rFonts w:ascii="Times New Roman" w:hAnsi="Times New Roman" w:cs="Times New Roman"/>
                <w:sz w:val="26"/>
                <w:szCs w:val="26"/>
              </w:rPr>
              <w:t>.</w:t>
            </w:r>
            <w:r>
              <w:rPr>
                <w:rFonts w:ascii="Times New Roman" w:hAnsi="Times New Roman" w:cs="Times New Roman"/>
                <w:sz w:val="26"/>
                <w:szCs w:val="26"/>
                <w:lang w:val="en-US"/>
              </w:rPr>
              <w:t>belregion</w:t>
            </w:r>
            <w:r>
              <w:rPr>
                <w:rFonts w:ascii="Times New Roman" w:hAnsi="Times New Roman" w:cs="Times New Roman"/>
                <w:sz w:val="26"/>
                <w:szCs w:val="26"/>
                <w:lang w:val="de-DE"/>
              </w:rPr>
              <w:t>.ru</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Сроки приема предложений и замечаний: с</w:t>
            </w:r>
            <w:r>
              <w:rPr>
                <w:rFonts w:ascii="Times New Roman" w:hAnsi="Times New Roman" w:cs="Times New Roman"/>
                <w:sz w:val="26"/>
                <w:szCs w:val="26"/>
              </w:rPr>
              <w:t xml:space="preserve"> </w:t>
            </w:r>
            <w:r w:rsidR="007F0668">
              <w:rPr>
                <w:rFonts w:ascii="Times New Roman" w:hAnsi="Times New Roman" w:cs="Times New Roman"/>
                <w:sz w:val="26"/>
                <w:szCs w:val="26"/>
              </w:rPr>
              <w:t>07</w:t>
            </w:r>
            <w:r>
              <w:rPr>
                <w:rFonts w:ascii="Times New Roman" w:hAnsi="Times New Roman" w:cs="Times New Roman"/>
                <w:sz w:val="26"/>
                <w:szCs w:val="26"/>
              </w:rPr>
              <w:t>.0</w:t>
            </w:r>
            <w:r w:rsidR="007F0668">
              <w:rPr>
                <w:rFonts w:ascii="Times New Roman" w:hAnsi="Times New Roman" w:cs="Times New Roman"/>
                <w:sz w:val="26"/>
                <w:szCs w:val="26"/>
              </w:rPr>
              <w:t>8</w:t>
            </w:r>
            <w:r>
              <w:rPr>
                <w:rFonts w:ascii="Times New Roman" w:hAnsi="Times New Roman" w:cs="Times New Roman"/>
                <w:sz w:val="26"/>
                <w:szCs w:val="26"/>
              </w:rPr>
              <w:t xml:space="preserve">.2025 по </w:t>
            </w:r>
            <w:r w:rsidR="007F0668">
              <w:rPr>
                <w:rFonts w:ascii="Times New Roman" w:hAnsi="Times New Roman" w:cs="Times New Roman"/>
                <w:sz w:val="26"/>
                <w:szCs w:val="26"/>
              </w:rPr>
              <w:t>20</w:t>
            </w:r>
            <w:r>
              <w:rPr>
                <w:rFonts w:ascii="Times New Roman" w:hAnsi="Times New Roman" w:cs="Times New Roman"/>
                <w:sz w:val="26"/>
                <w:szCs w:val="26"/>
              </w:rPr>
              <w:t>.0</w:t>
            </w:r>
            <w:r w:rsidR="007F0668">
              <w:rPr>
                <w:rFonts w:ascii="Times New Roman" w:hAnsi="Times New Roman" w:cs="Times New Roman"/>
                <w:sz w:val="26"/>
                <w:szCs w:val="26"/>
              </w:rPr>
              <w:t>8</w:t>
            </w:r>
            <w:r>
              <w:rPr>
                <w:rFonts w:ascii="Times New Roman" w:hAnsi="Times New Roman" w:cs="Times New Roman"/>
                <w:sz w:val="26"/>
                <w:szCs w:val="26"/>
              </w:rPr>
              <w:t>.2025 года.</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С учетом анализа поступивших замечаний и предложений будет подготовлен сводный доклад о результатах анализа проектов муниципальных нормативных правовых актов администрации Губкинского городского округа,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 за 2025 год, который до 10.02.2026 года 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w:t>
            </w:r>
            <w:hyperlink r:id="rId6" w:tooltip="http://gubkinadm.ru/dokumenty/antimonopolnyi-komplaens" w:history="1">
              <w:r>
                <w:rPr>
                  <w:rFonts w:ascii="Times New Roman" w:eastAsia="Times New Roman" w:hAnsi="Times New Roman" w:cs="Times New Roman"/>
                  <w:color w:val="3EA960"/>
                  <w:sz w:val="26"/>
                  <w:szCs w:val="26"/>
                  <w:u w:val="single"/>
                  <w:lang w:eastAsia="ru-RU"/>
                </w:rPr>
                <w:t>Антимонопольный комплаенс</w:t>
              </w:r>
            </w:hyperlink>
            <w:r>
              <w:rPr>
                <w:rFonts w:ascii="Times New Roman" w:eastAsia="Times New Roman" w:hAnsi="Times New Roman" w:cs="Times New Roman"/>
                <w:sz w:val="26"/>
                <w:szCs w:val="26"/>
                <w:lang w:eastAsia="ru-RU"/>
              </w:rPr>
              <w:t>».</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b/>
                <w:bCs/>
                <w:sz w:val="26"/>
                <w:szCs w:val="26"/>
                <w:lang w:eastAsia="ru-RU"/>
              </w:rPr>
              <w:t>К уведомлению прилагаются:</w:t>
            </w:r>
            <w:bookmarkStart w:id="0" w:name="_GoBack"/>
            <w:bookmarkEnd w:id="0"/>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 Анкета участника публичных консультаций в формате Word. (</w:t>
            </w:r>
            <w:hyperlink r:id="rId7" w:tooltip="http://gubkinadm.ru/gubkindocs/documents/antimon_komplaens/izm_2471-pa/anketa.doc" w:history="1">
              <w:r>
                <w:rPr>
                  <w:rFonts w:ascii="Times New Roman" w:eastAsia="Times New Roman" w:hAnsi="Times New Roman" w:cs="Times New Roman"/>
                  <w:color w:val="3EA960"/>
                  <w:sz w:val="26"/>
                  <w:szCs w:val="26"/>
                  <w:u w:val="single"/>
                  <w:lang w:eastAsia="ru-RU"/>
                </w:rPr>
                <w:t>Скачать</w:t>
              </w:r>
            </w:hyperlink>
            <w:r>
              <w:rPr>
                <w:rFonts w:ascii="Times New Roman" w:eastAsia="Times New Roman" w:hAnsi="Times New Roman" w:cs="Times New Roman"/>
                <w:sz w:val="26"/>
                <w:szCs w:val="26"/>
                <w:lang w:eastAsia="ru-RU"/>
              </w:rPr>
              <w:t>)</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2. Текст проекта муниципального нормативного правового акта в формате Word. (</w:t>
            </w:r>
            <w:hyperlink r:id="rId8" w:tooltip="http://gubkinadm.ru/gubkindocs/documents/antimon_komplaens/izm_2471-pa/proekt.doc" w:history="1">
              <w:r>
                <w:rPr>
                  <w:rFonts w:ascii="Times New Roman" w:eastAsia="Times New Roman" w:hAnsi="Times New Roman" w:cs="Times New Roman"/>
                  <w:color w:val="3EA960"/>
                  <w:sz w:val="26"/>
                  <w:szCs w:val="26"/>
                  <w:u w:val="single"/>
                  <w:lang w:eastAsia="ru-RU"/>
                </w:rPr>
                <w:t>Скачать</w:t>
              </w:r>
            </w:hyperlink>
            <w:r>
              <w:rPr>
                <w:rFonts w:ascii="Times New Roman" w:eastAsia="Times New Roman" w:hAnsi="Times New Roman" w:cs="Times New Roman"/>
                <w:sz w:val="26"/>
                <w:szCs w:val="26"/>
                <w:lang w:eastAsia="ru-RU"/>
              </w:rPr>
              <w:t>)</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3. Обоснование необходимости реализации предлагаемых решений посредством принятия муниципального нормативного правового акта, в том числе их влияния на конкуренцию, в формате Word. (</w:t>
            </w:r>
            <w:hyperlink r:id="rId9" w:tooltip="http://gubkinadm.ru/gubkindocs/documents/antimon_komplaens/izm_2471-pa/obosnovanie.doc" w:history="1">
              <w:r>
                <w:rPr>
                  <w:rFonts w:ascii="Times New Roman" w:eastAsia="Times New Roman" w:hAnsi="Times New Roman" w:cs="Times New Roman"/>
                  <w:color w:val="3EA960"/>
                  <w:sz w:val="26"/>
                  <w:szCs w:val="26"/>
                  <w:u w:val="single"/>
                  <w:lang w:eastAsia="ru-RU"/>
                </w:rPr>
                <w:t>Скачать</w:t>
              </w:r>
            </w:hyperlink>
            <w:r>
              <w:rPr>
                <w:rFonts w:ascii="Times New Roman" w:eastAsia="Times New Roman" w:hAnsi="Times New Roman" w:cs="Times New Roman"/>
                <w:sz w:val="26"/>
                <w:szCs w:val="26"/>
                <w:lang w:eastAsia="ru-RU"/>
              </w:rPr>
              <w:t>)</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Место размещения приложений в информационно-телекоммуникационной сети «Интернет»:</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официальный сайт органов местного самоуправления Губкинского городского округа, раздел «</w:t>
            </w:r>
            <w:hyperlink r:id="rId10" w:tooltip="http://gubkinadm.ru/dokumenty/antimonopolnyi-komplaens" w:history="1">
              <w:r>
                <w:rPr>
                  <w:rFonts w:ascii="Times New Roman" w:eastAsia="Times New Roman" w:hAnsi="Times New Roman" w:cs="Times New Roman"/>
                  <w:color w:val="3EA960"/>
                  <w:sz w:val="26"/>
                  <w:szCs w:val="26"/>
                  <w:u w:val="single"/>
                  <w:lang w:eastAsia="ru-RU"/>
                </w:rPr>
                <w:t>Антимонопольный комплаенс</w:t>
              </w:r>
            </w:hyperlink>
            <w:r>
              <w:rPr>
                <w:rFonts w:ascii="Times New Roman" w:eastAsia="Times New Roman" w:hAnsi="Times New Roman" w:cs="Times New Roman"/>
                <w:sz w:val="26"/>
                <w:szCs w:val="26"/>
                <w:lang w:eastAsia="ru-RU"/>
              </w:rPr>
              <w:t>»</w:t>
            </w:r>
          </w:p>
        </w:tc>
      </w:tr>
      <w:tr w:rsidR="00DB3286">
        <w:trPr>
          <w:jc w:val="center"/>
        </w:trPr>
        <w:tc>
          <w:tcPr>
            <w:tcW w:w="10261" w:type="dxa"/>
            <w:tcBorders>
              <w:top w:val="single" w:sz="12" w:space="0" w:color="777777"/>
              <w:left w:val="single" w:sz="12" w:space="0" w:color="777777"/>
              <w:bottom w:val="single" w:sz="12" w:space="0" w:color="777777"/>
              <w:right w:val="single" w:sz="12" w:space="0" w:color="777777"/>
            </w:tcBorders>
            <w:shd w:val="clear" w:color="auto" w:fill="auto"/>
            <w:tcMar>
              <w:top w:w="84" w:type="dxa"/>
              <w:left w:w="167" w:type="dxa"/>
              <w:bottom w:w="84" w:type="dxa"/>
              <w:right w:w="167" w:type="dxa"/>
            </w:tcMar>
          </w:tcPr>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Контактное лицо: </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Землякова Марья Николаевна, заместитель руководителя аппарата, начальник управления массовых коммуникаций и информационных технологий администрации Губкинского городского округ, телефон (47-241) 2-16-28</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Режим работы:</w:t>
            </w:r>
          </w:p>
          <w:p w:rsidR="00DB3286" w:rsidRDefault="0056729D">
            <w:pPr>
              <w:spacing w:after="0" w:line="240" w:lineRule="auto"/>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lastRenderedPageBreak/>
              <w:t>с 9-00 до 18-00, перерыв с 13-00 до 14-00</w:t>
            </w:r>
          </w:p>
        </w:tc>
      </w:tr>
    </w:tbl>
    <w:p w:rsidR="00DB3286" w:rsidRDefault="00DB3286">
      <w:pPr>
        <w:rPr>
          <w:rFonts w:ascii="Times New Roman" w:hAnsi="Times New Roman" w:cs="Times New Roman"/>
          <w:sz w:val="26"/>
          <w:szCs w:val="26"/>
        </w:rPr>
      </w:pPr>
    </w:p>
    <w:sectPr w:rsidR="00DB3286">
      <w:pgSz w:w="11907" w:h="16839"/>
      <w:pgMar w:top="851" w:right="1134" w:bottom="170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86B" w:rsidRDefault="00EF186B">
      <w:pPr>
        <w:spacing w:after="0" w:line="240" w:lineRule="auto"/>
      </w:pPr>
      <w:r>
        <w:separator/>
      </w:r>
    </w:p>
  </w:endnote>
  <w:endnote w:type="continuationSeparator" w:id="0">
    <w:p w:rsidR="00EF186B" w:rsidRDefault="00EF18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86B" w:rsidRDefault="00EF186B">
      <w:pPr>
        <w:spacing w:after="0" w:line="240" w:lineRule="auto"/>
      </w:pPr>
      <w:r>
        <w:separator/>
      </w:r>
    </w:p>
  </w:footnote>
  <w:footnote w:type="continuationSeparator" w:id="0">
    <w:p w:rsidR="00EF186B" w:rsidRDefault="00EF186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3286"/>
    <w:rsid w:val="001E5D31"/>
    <w:rsid w:val="00372DB2"/>
    <w:rsid w:val="0056729D"/>
    <w:rsid w:val="007F0668"/>
    <w:rsid w:val="00DB3286"/>
    <w:rsid w:val="00EF18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F4CEEC4-6957-4EFC-B4FE-31B3BC19F9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pPr>
      <w:spacing w:after="0" w:line="240" w:lineRule="auto"/>
    </w:pPr>
  </w:style>
  <w:style w:type="paragraph" w:styleId="a5">
    <w:name w:val="Title"/>
    <w:basedOn w:val="a"/>
    <w:next w:val="a"/>
    <w:link w:val="a6"/>
    <w:uiPriority w:val="10"/>
    <w:qFormat/>
    <w:pPr>
      <w:spacing w:before="300"/>
      <w:contextualSpacing/>
    </w:pPr>
    <w:rPr>
      <w:sz w:val="48"/>
      <w:szCs w:val="48"/>
    </w:rPr>
  </w:style>
  <w:style w:type="character" w:customStyle="1" w:styleId="a6">
    <w:name w:val="Название Знак"/>
    <w:basedOn w:val="a0"/>
    <w:link w:val="a5"/>
    <w:uiPriority w:val="10"/>
    <w:rPr>
      <w:sz w:val="48"/>
      <w:szCs w:val="48"/>
    </w:rPr>
  </w:style>
  <w:style w:type="paragraph" w:styleId="a7">
    <w:name w:val="Subtitle"/>
    <w:basedOn w:val="a"/>
    <w:next w:val="a"/>
    <w:link w:val="a8"/>
    <w:uiPriority w:val="11"/>
    <w:qFormat/>
    <w:pPr>
      <w:spacing w:before="200"/>
    </w:pPr>
    <w:rPr>
      <w:sz w:val="24"/>
      <w:szCs w:val="24"/>
    </w:rPr>
  </w:style>
  <w:style w:type="character" w:customStyle="1" w:styleId="a8">
    <w:name w:val="Подзаголовок Знак"/>
    <w:basedOn w:val="a0"/>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ac"/>
    <w:uiPriority w:val="99"/>
    <w:unhideWhenUsed/>
    <w:pPr>
      <w:tabs>
        <w:tab w:val="center" w:pos="7143"/>
        <w:tab w:val="right" w:pos="14287"/>
      </w:tabs>
      <w:spacing w:after="0" w:line="240" w:lineRule="auto"/>
    </w:pPr>
  </w:style>
  <w:style w:type="character" w:customStyle="1" w:styleId="ac">
    <w:name w:val="Верхний колонтитул Знак"/>
    <w:basedOn w:val="a0"/>
    <w:link w:val="ab"/>
    <w:uiPriority w:val="99"/>
  </w:style>
  <w:style w:type="paragraph" w:styleId="ad">
    <w:name w:val="footer"/>
    <w:basedOn w:val="a"/>
    <w:link w:val="ae"/>
    <w:uiPriority w:val="99"/>
    <w:unhideWhenUsed/>
    <w:pPr>
      <w:tabs>
        <w:tab w:val="center" w:pos="7143"/>
        <w:tab w:val="right" w:pos="14287"/>
      </w:tabs>
      <w:spacing w:after="0" w:line="240" w:lineRule="auto"/>
    </w:pPr>
  </w:style>
  <w:style w:type="character" w:customStyle="1" w:styleId="FooterChar">
    <w:name w:val="Footer Char"/>
    <w:basedOn w:val="a0"/>
    <w:uiPriority w:val="99"/>
  </w:style>
  <w:style w:type="paragraph" w:styleId="af">
    <w:name w:val="caption"/>
    <w:basedOn w:val="a"/>
    <w:next w:val="a"/>
    <w:uiPriority w:val="35"/>
    <w:semiHidden/>
    <w:unhideWhenUsed/>
    <w:qFormat/>
    <w:rPr>
      <w:b/>
      <w:bCs/>
      <w:color w:val="4F81BD" w:themeColor="accent1"/>
      <w:sz w:val="18"/>
      <w:szCs w:val="18"/>
    </w:rPr>
  </w:style>
  <w:style w:type="character" w:customStyle="1" w:styleId="ae">
    <w:name w:val="Нижний колонтитул Знак"/>
    <w:link w:val="ad"/>
    <w:uiPriority w:val="99"/>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1">
    <w:name w:val="Hyperlink"/>
    <w:uiPriority w:val="99"/>
    <w:unhideWhenUsed/>
    <w:rPr>
      <w:color w:val="0000FF" w:themeColor="hyperlink"/>
      <w:u w:val="single"/>
    </w:rPr>
  </w:style>
  <w:style w:type="paragraph" w:styleId="af2">
    <w:name w:val="footnote text"/>
    <w:basedOn w:val="a"/>
    <w:link w:val="af3"/>
    <w:uiPriority w:val="99"/>
    <w:semiHidden/>
    <w:unhideWhenUsed/>
    <w:pPr>
      <w:spacing w:after="40" w:line="240" w:lineRule="auto"/>
    </w:pPr>
    <w:rPr>
      <w:sz w:val="18"/>
    </w:rPr>
  </w:style>
  <w:style w:type="character" w:customStyle="1" w:styleId="af3">
    <w:name w:val="Текст сноски Знак"/>
    <w:link w:val="af2"/>
    <w:uiPriority w:val="99"/>
    <w:rPr>
      <w:sz w:val="18"/>
    </w:rPr>
  </w:style>
  <w:style w:type="character" w:styleId="af4">
    <w:name w:val="footnote reference"/>
    <w:basedOn w:val="a0"/>
    <w:uiPriority w:val="99"/>
    <w:unhideWhenUsed/>
    <w:rPr>
      <w:vertAlign w:val="superscript"/>
    </w:rPr>
  </w:style>
  <w:style w:type="paragraph" w:styleId="af5">
    <w:name w:val="endnote text"/>
    <w:basedOn w:val="a"/>
    <w:link w:val="af6"/>
    <w:uiPriority w:val="99"/>
    <w:semiHidden/>
    <w:unhideWhenUsed/>
    <w:pPr>
      <w:spacing w:after="0" w:line="240" w:lineRule="auto"/>
    </w:pPr>
    <w:rPr>
      <w:sz w:val="20"/>
    </w:rPr>
  </w:style>
  <w:style w:type="character" w:customStyle="1" w:styleId="af6">
    <w:name w:val="Текст концевой сноски Знак"/>
    <w:link w:val="af5"/>
    <w:uiPriority w:val="99"/>
    <w:rPr>
      <w:sz w:val="20"/>
    </w:rPr>
  </w:style>
  <w:style w:type="character" w:styleId="af7">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8">
    <w:name w:val="TOC Heading"/>
    <w:uiPriority w:val="39"/>
    <w:unhideWhenUsed/>
  </w:style>
  <w:style w:type="paragraph" w:styleId="af9">
    <w:name w:val="table of figures"/>
    <w:basedOn w:val="a"/>
    <w:next w:val="a"/>
    <w:uiPriority w:val="99"/>
    <w:unhideWhenUsed/>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ubkinadm.ru/gubkindocs/documents/antimon_komplaens/izm_2471-pa/proekt.doc" TargetMode="External"/><Relationship Id="rId3" Type="http://schemas.openxmlformats.org/officeDocument/2006/relationships/webSettings" Target="webSettings.xml"/><Relationship Id="rId7" Type="http://schemas.openxmlformats.org/officeDocument/2006/relationships/hyperlink" Target="http://gubkinadm.ru/gubkindocs/documents/antimon_komplaens/izm_2471-pa/anketa.doc"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ubkinadm.ru/dokumenty/antimonopolnyi-komplaen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yperlink" Target="http://gubkinadm.ru/dokumenty/antimonopolnyi-komplaens" TargetMode="External"/><Relationship Id="rId4" Type="http://schemas.openxmlformats.org/officeDocument/2006/relationships/footnotes" Target="footnotes.xml"/><Relationship Id="rId9" Type="http://schemas.openxmlformats.org/officeDocument/2006/relationships/hyperlink" Target="http://gubkinadm.ru/gubkindocs/documents/antimon_komplaens/izm_2471-pa/obosnovanie.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522</Words>
  <Characters>2978</Characters>
  <Application>Microsoft Office Word</Application>
  <DocSecurity>0</DocSecurity>
  <Lines>24</Lines>
  <Paragraphs>6</Paragraphs>
  <ScaleCrop>false</ScaleCrop>
  <Company>Microsoft</Company>
  <LinksUpToDate>false</LinksUpToDate>
  <CharactersWithSpaces>3494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Марья Землякова</cp:lastModifiedBy>
  <cp:revision>29</cp:revision>
  <dcterms:created xsi:type="dcterms:W3CDTF">2019-12-09T11:35:00Z</dcterms:created>
  <dcterms:modified xsi:type="dcterms:W3CDTF">2025-08-06T07:28:00Z</dcterms:modified>
</cp:coreProperties>
</file>